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014B76" w14:textId="63235413" w:rsidR="00FF7EE3" w:rsidRPr="00337B1F" w:rsidRDefault="00337B1F" w:rsidP="00337B1F">
      <w:pPr>
        <w:pStyle w:val="xmsonormal"/>
        <w:spacing w:before="0" w:beforeAutospacing="0" w:after="0" w:afterAutospacing="0" w:line="294" w:lineRule="atLeast"/>
        <w:jc w:val="center"/>
        <w:rPr>
          <w:b/>
          <w:bCs/>
          <w:sz w:val="18"/>
          <w:szCs w:val="18"/>
          <w:u w:val="single"/>
        </w:rPr>
      </w:pPr>
      <w:r w:rsidRPr="00337B1F">
        <w:rPr>
          <w:b/>
          <w:bCs/>
          <w:u w:val="single"/>
        </w:rPr>
        <w:t>ALTA Policy Forms</w:t>
      </w:r>
      <w:r>
        <w:rPr>
          <w:b/>
          <w:bCs/>
          <w:u w:val="single"/>
        </w:rPr>
        <w:t>:</w:t>
      </w:r>
      <w:r w:rsidRPr="00337B1F">
        <w:rPr>
          <w:b/>
          <w:bCs/>
          <w:u w:val="single"/>
        </w:rPr>
        <w:t xml:space="preserve"> April 2, 2024 </w:t>
      </w:r>
      <w:r w:rsidR="00057FDC">
        <w:rPr>
          <w:b/>
          <w:bCs/>
          <w:u w:val="single"/>
        </w:rPr>
        <w:t xml:space="preserve">Final </w:t>
      </w:r>
      <w:r w:rsidRPr="00337B1F">
        <w:rPr>
          <w:b/>
          <w:bCs/>
          <w:u w:val="single"/>
        </w:rPr>
        <w:t>Publication Overview</w:t>
      </w:r>
    </w:p>
    <w:p w14:paraId="221DD362" w14:textId="77777777" w:rsidR="00337B1F" w:rsidRDefault="00337B1F" w:rsidP="00FF7EE3">
      <w:pPr>
        <w:pStyle w:val="xmsonormal"/>
        <w:spacing w:before="0" w:beforeAutospacing="0" w:after="0" w:afterAutospacing="0" w:line="294" w:lineRule="atLeast"/>
        <w:rPr>
          <w:b/>
          <w:bCs/>
          <w:sz w:val="18"/>
          <w:szCs w:val="18"/>
          <w:u w:val="single"/>
        </w:rPr>
      </w:pPr>
    </w:p>
    <w:p w14:paraId="654F60B4" w14:textId="54CEF1C4" w:rsidR="00CD63CC" w:rsidRPr="00CD63CC" w:rsidRDefault="00CD63CC" w:rsidP="00FF7EE3">
      <w:pPr>
        <w:pStyle w:val="xmsonormal"/>
        <w:spacing w:before="0" w:beforeAutospacing="0" w:after="0" w:afterAutospacing="0" w:line="294" w:lineRule="atLeast"/>
        <w:rPr>
          <w:b/>
          <w:bCs/>
          <w:sz w:val="18"/>
          <w:szCs w:val="18"/>
          <w:u w:val="single"/>
        </w:rPr>
      </w:pPr>
      <w:r w:rsidRPr="00CD63CC">
        <w:rPr>
          <w:b/>
          <w:bCs/>
          <w:sz w:val="18"/>
          <w:szCs w:val="18"/>
          <w:u w:val="single"/>
        </w:rPr>
        <w:t>Revised ALTA Forms</w:t>
      </w:r>
    </w:p>
    <w:p w14:paraId="6181795B" w14:textId="4757C088" w:rsidR="00CD63CC" w:rsidRDefault="00CD63CC" w:rsidP="00CD63CC">
      <w:pPr>
        <w:pStyle w:val="xmsonormal"/>
        <w:spacing w:before="0" w:beforeAutospacing="0" w:after="0" w:afterAutospacing="0" w:line="294" w:lineRule="atLeast"/>
        <w:rPr>
          <w:sz w:val="18"/>
          <w:szCs w:val="18"/>
        </w:rPr>
      </w:pPr>
      <w:r>
        <w:rPr>
          <w:sz w:val="18"/>
          <w:szCs w:val="18"/>
        </w:rPr>
        <w:t>On February 9, 2024, t</w:t>
      </w:r>
      <w:r w:rsidRPr="00622109">
        <w:rPr>
          <w:sz w:val="18"/>
          <w:szCs w:val="18"/>
        </w:rPr>
        <w:t xml:space="preserve">he ALTA Board of Governors approved a recommendation </w:t>
      </w:r>
      <w:r>
        <w:rPr>
          <w:sz w:val="18"/>
          <w:szCs w:val="18"/>
        </w:rPr>
        <w:t xml:space="preserve">to adopt </w:t>
      </w:r>
      <w:r w:rsidRPr="00622109">
        <w:rPr>
          <w:sz w:val="18"/>
          <w:szCs w:val="18"/>
        </w:rPr>
        <w:t xml:space="preserve">the </w:t>
      </w:r>
      <w:r>
        <w:rPr>
          <w:sz w:val="18"/>
          <w:szCs w:val="18"/>
        </w:rPr>
        <w:t xml:space="preserve">following revisions to the </w:t>
      </w:r>
      <w:r w:rsidRPr="00622109">
        <w:rPr>
          <w:sz w:val="18"/>
          <w:szCs w:val="18"/>
        </w:rPr>
        <w:t>2021 ALTA Forms Collection</w:t>
      </w:r>
      <w:r>
        <w:rPr>
          <w:sz w:val="18"/>
          <w:szCs w:val="18"/>
        </w:rPr>
        <w:t xml:space="preserve">.  The public comment period ran through March 22, 2024.   </w:t>
      </w:r>
      <w:r w:rsidRPr="00622109">
        <w:rPr>
          <w:sz w:val="18"/>
          <w:szCs w:val="18"/>
        </w:rPr>
        <w:t xml:space="preserve">The </w:t>
      </w:r>
      <w:r w:rsidR="007B16B2">
        <w:rPr>
          <w:sz w:val="18"/>
          <w:szCs w:val="18"/>
        </w:rPr>
        <w:t>final publication</w:t>
      </w:r>
      <w:r>
        <w:rPr>
          <w:sz w:val="18"/>
          <w:szCs w:val="18"/>
        </w:rPr>
        <w:t xml:space="preserve"> </w:t>
      </w:r>
      <w:r w:rsidRPr="00622109">
        <w:rPr>
          <w:sz w:val="18"/>
          <w:szCs w:val="18"/>
        </w:rPr>
        <w:t xml:space="preserve">date </w:t>
      </w:r>
      <w:r>
        <w:rPr>
          <w:sz w:val="18"/>
          <w:szCs w:val="18"/>
        </w:rPr>
        <w:t xml:space="preserve">for these Forms </w:t>
      </w:r>
      <w:r w:rsidRPr="00622109">
        <w:rPr>
          <w:sz w:val="18"/>
          <w:szCs w:val="18"/>
        </w:rPr>
        <w:t xml:space="preserve">is </w:t>
      </w:r>
      <w:r w:rsidRPr="00FF7EE3">
        <w:rPr>
          <w:sz w:val="18"/>
          <w:szCs w:val="18"/>
        </w:rPr>
        <w:t>April 2, 2024</w:t>
      </w:r>
      <w:r w:rsidRPr="00622109">
        <w:rPr>
          <w:sz w:val="18"/>
          <w:szCs w:val="18"/>
        </w:rPr>
        <w:t xml:space="preserve">.  </w:t>
      </w:r>
    </w:p>
    <w:p w14:paraId="049748EF" w14:textId="77777777" w:rsidR="00337B1F" w:rsidRDefault="00337B1F" w:rsidP="00FF7EE3">
      <w:pPr>
        <w:pStyle w:val="ALTABullet-1"/>
        <w:numPr>
          <w:ilvl w:val="0"/>
          <w:numId w:val="0"/>
        </w:numPr>
        <w:ind w:left="360"/>
        <w:rPr>
          <w:rFonts w:cstheme="minorHAnsi"/>
          <w:sz w:val="18"/>
          <w:szCs w:val="18"/>
          <w:u w:val="single"/>
        </w:rPr>
      </w:pPr>
    </w:p>
    <w:p w14:paraId="7DB8CDFF" w14:textId="10360CD7" w:rsidR="00FF7EE3" w:rsidRPr="00FF7EE3" w:rsidRDefault="00FF7EE3" w:rsidP="00FF7EE3">
      <w:pPr>
        <w:pStyle w:val="ALTABullet-1"/>
        <w:numPr>
          <w:ilvl w:val="0"/>
          <w:numId w:val="0"/>
        </w:numPr>
        <w:ind w:left="360"/>
        <w:rPr>
          <w:rFonts w:cstheme="minorHAnsi"/>
          <w:sz w:val="18"/>
          <w:szCs w:val="18"/>
        </w:rPr>
      </w:pPr>
      <w:r w:rsidRPr="00FF7EE3">
        <w:rPr>
          <w:rFonts w:cstheme="minorHAnsi"/>
          <w:sz w:val="18"/>
          <w:szCs w:val="18"/>
          <w:u w:val="single"/>
        </w:rPr>
        <w:t>Short Form ECRLP policies (Assessment Priority and Current Assessments versions):</w:t>
      </w:r>
      <w:r w:rsidR="00CD63CC">
        <w:rPr>
          <w:rFonts w:cstheme="minorHAnsi"/>
          <w:sz w:val="18"/>
          <w:szCs w:val="18"/>
          <w:u w:val="single"/>
        </w:rPr>
        <w:t xml:space="preserve"> 2021 v. 01.01</w:t>
      </w:r>
      <w:r w:rsidRPr="00FF7EE3">
        <w:rPr>
          <w:rFonts w:cstheme="minorHAnsi"/>
          <w:sz w:val="18"/>
          <w:szCs w:val="18"/>
        </w:rPr>
        <w:t xml:space="preserve">     </w:t>
      </w:r>
    </w:p>
    <w:p w14:paraId="52E85C80" w14:textId="01CB2D8E" w:rsidR="00FF7EE3" w:rsidRDefault="00FF7EE3" w:rsidP="00FF7EE3">
      <w:pPr>
        <w:pStyle w:val="ALTABullet-1"/>
        <w:numPr>
          <w:ilvl w:val="0"/>
          <w:numId w:val="0"/>
        </w:numPr>
        <w:ind w:left="360"/>
        <w:rPr>
          <w:rFonts w:cstheme="minorHAnsi"/>
          <w:sz w:val="18"/>
          <w:szCs w:val="18"/>
        </w:rPr>
      </w:pPr>
      <w:r w:rsidRPr="00FF7EE3">
        <w:rPr>
          <w:rFonts w:cstheme="minorHAnsi"/>
          <w:sz w:val="18"/>
          <w:szCs w:val="18"/>
        </w:rPr>
        <w:t>The revision will resolve problems with incorporating a state statute as an exception</w:t>
      </w:r>
      <w:r>
        <w:rPr>
          <w:rFonts w:cstheme="minorHAnsi"/>
          <w:sz w:val="18"/>
          <w:szCs w:val="18"/>
        </w:rPr>
        <w:t>,</w:t>
      </w:r>
      <w:r w:rsidRPr="00FF7EE3">
        <w:rPr>
          <w:rFonts w:cstheme="minorHAnsi"/>
          <w:sz w:val="18"/>
          <w:szCs w:val="18"/>
        </w:rPr>
        <w:t xml:space="preserve"> by reference to Schedule B in the </w:t>
      </w:r>
      <w:r>
        <w:rPr>
          <w:rFonts w:cstheme="minorHAnsi"/>
          <w:sz w:val="18"/>
          <w:szCs w:val="18"/>
        </w:rPr>
        <w:t>updated</w:t>
      </w:r>
      <w:r w:rsidRPr="00FF7EE3">
        <w:rPr>
          <w:rFonts w:cstheme="minorHAnsi"/>
          <w:sz w:val="18"/>
          <w:szCs w:val="18"/>
        </w:rPr>
        <w:t xml:space="preserve"> versions. The revised version enables incorporation of the appropriate state statutes directly by incorporating Endorsement 8.1 (Environmental Protection Lien).  </w:t>
      </w:r>
      <w:r w:rsidR="005B13E0">
        <w:rPr>
          <w:rFonts w:cstheme="minorHAnsi"/>
          <w:sz w:val="18"/>
          <w:szCs w:val="18"/>
        </w:rPr>
        <w:t>A redline of the change is as follows</w:t>
      </w:r>
      <w:r w:rsidR="00337B1F">
        <w:rPr>
          <w:rFonts w:cstheme="minorHAnsi"/>
          <w:sz w:val="18"/>
          <w:szCs w:val="18"/>
        </w:rPr>
        <w:t>:</w:t>
      </w:r>
    </w:p>
    <w:p w14:paraId="0065927A" w14:textId="2E6E20C9" w:rsidR="00FF7EE3" w:rsidRPr="00FF7EE3" w:rsidRDefault="00FF7EE3" w:rsidP="00FF7EE3">
      <w:pPr>
        <w:pStyle w:val="ALTABullet-1"/>
        <w:numPr>
          <w:ilvl w:val="0"/>
          <w:numId w:val="0"/>
        </w:numPr>
        <w:ind w:left="360"/>
        <w:jc w:val="right"/>
        <w:rPr>
          <w:rFonts w:cstheme="minorHAnsi"/>
          <w:sz w:val="18"/>
          <w:szCs w:val="18"/>
        </w:rPr>
      </w:pPr>
      <w:r w:rsidRPr="00FF7EE3">
        <w:rPr>
          <w:rFonts w:cstheme="minorHAnsi"/>
          <w:noProof/>
          <w:sz w:val="18"/>
          <w:szCs w:val="18"/>
        </w:rPr>
        <w:drawing>
          <wp:inline distT="0" distB="0" distL="0" distR="0" wp14:anchorId="51EC8C92" wp14:editId="4B945456">
            <wp:extent cx="5000687" cy="444506"/>
            <wp:effectExtent l="152400" t="152400" r="352425" b="355600"/>
            <wp:docPr id="1870549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49297" name=""/>
                    <pic:cNvPicPr/>
                  </pic:nvPicPr>
                  <pic:blipFill>
                    <a:blip r:embed="rId7"/>
                    <a:stretch>
                      <a:fillRect/>
                    </a:stretch>
                  </pic:blipFill>
                  <pic:spPr>
                    <a:xfrm>
                      <a:off x="0" y="0"/>
                      <a:ext cx="5061123" cy="449878"/>
                    </a:xfrm>
                    <a:prstGeom prst="rect">
                      <a:avLst/>
                    </a:prstGeom>
                    <a:ln>
                      <a:noFill/>
                    </a:ln>
                    <a:effectLst>
                      <a:outerShdw blurRad="292100" dist="139700" dir="2700000" algn="tl" rotWithShape="0">
                        <a:srgbClr val="333333">
                          <a:alpha val="65000"/>
                        </a:srgbClr>
                      </a:outerShdw>
                    </a:effectLst>
                  </pic:spPr>
                </pic:pic>
              </a:graphicData>
            </a:graphic>
          </wp:inline>
        </w:drawing>
      </w:r>
    </w:p>
    <w:p w14:paraId="2F7FB9F4" w14:textId="77777777" w:rsidR="00FF7EE3" w:rsidRPr="00FF7EE3" w:rsidRDefault="00FF7EE3" w:rsidP="00FF7EE3">
      <w:pPr>
        <w:pStyle w:val="ALTABullet-1"/>
        <w:numPr>
          <w:ilvl w:val="0"/>
          <w:numId w:val="0"/>
        </w:numPr>
        <w:ind w:left="360"/>
        <w:rPr>
          <w:rFonts w:cstheme="minorHAnsi"/>
          <w:sz w:val="18"/>
          <w:szCs w:val="18"/>
          <w:u w:val="single"/>
        </w:rPr>
      </w:pPr>
    </w:p>
    <w:p w14:paraId="7749A23D" w14:textId="1D2E2668" w:rsidR="00CD63CC" w:rsidRDefault="00FF7EE3" w:rsidP="00FF7EE3">
      <w:pPr>
        <w:pStyle w:val="ALTABullet-1"/>
        <w:numPr>
          <w:ilvl w:val="0"/>
          <w:numId w:val="0"/>
        </w:numPr>
        <w:ind w:left="360"/>
        <w:rPr>
          <w:rFonts w:cstheme="minorHAnsi"/>
          <w:sz w:val="18"/>
          <w:szCs w:val="18"/>
        </w:rPr>
      </w:pPr>
      <w:r w:rsidRPr="00FF7EE3">
        <w:rPr>
          <w:rFonts w:cstheme="minorHAnsi"/>
          <w:sz w:val="18"/>
          <w:szCs w:val="18"/>
          <w:u w:val="single"/>
        </w:rPr>
        <w:t>Endorsement 3.3 (Zoning – Completed Improvement – Non-Conforming Use):</w:t>
      </w:r>
      <w:r w:rsidRPr="00CD63CC">
        <w:rPr>
          <w:rFonts w:cstheme="minorHAnsi"/>
          <w:sz w:val="18"/>
          <w:szCs w:val="18"/>
          <w:u w:val="single"/>
        </w:rPr>
        <w:t xml:space="preserve"> </w:t>
      </w:r>
      <w:r w:rsidR="00CD63CC" w:rsidRPr="00CD63CC">
        <w:rPr>
          <w:rFonts w:cstheme="minorHAnsi"/>
          <w:sz w:val="18"/>
          <w:szCs w:val="18"/>
          <w:u w:val="single"/>
        </w:rPr>
        <w:t>2021 v. 01.01</w:t>
      </w:r>
    </w:p>
    <w:p w14:paraId="520D9AE9" w14:textId="5EBF987B" w:rsidR="00FF7EE3" w:rsidRPr="00FF7EE3" w:rsidRDefault="00FF7EE3" w:rsidP="00FF7EE3">
      <w:pPr>
        <w:pStyle w:val="ALTABullet-1"/>
        <w:numPr>
          <w:ilvl w:val="0"/>
          <w:numId w:val="0"/>
        </w:numPr>
        <w:ind w:left="360"/>
        <w:rPr>
          <w:rFonts w:cstheme="minorHAnsi"/>
          <w:sz w:val="18"/>
          <w:szCs w:val="18"/>
        </w:rPr>
      </w:pPr>
      <w:r w:rsidRPr="00FF7EE3">
        <w:rPr>
          <w:rFonts w:cstheme="minorHAnsi"/>
          <w:sz w:val="18"/>
          <w:szCs w:val="18"/>
        </w:rPr>
        <w:t xml:space="preserve">This revision is designed to address coverage for a permitted non-conforming improvement, coverage for specified zoning classification, and to allow for the checkbox selection of the specific zoning matters that will be covered if removal or alteration results, rather than automatic inclusion of a blanket list of covered zoning matters. </w:t>
      </w:r>
    </w:p>
    <w:p w14:paraId="6EFCAB3E" w14:textId="77777777" w:rsidR="00FF7EE3" w:rsidRPr="00FF7EE3" w:rsidRDefault="00FF7EE3" w:rsidP="00FF7EE3">
      <w:pPr>
        <w:pStyle w:val="ALTABullet-1"/>
        <w:numPr>
          <w:ilvl w:val="0"/>
          <w:numId w:val="0"/>
        </w:numPr>
        <w:ind w:left="360"/>
        <w:rPr>
          <w:rFonts w:cstheme="minorHAnsi"/>
          <w:sz w:val="18"/>
          <w:szCs w:val="18"/>
          <w:u w:val="single"/>
        </w:rPr>
      </w:pPr>
    </w:p>
    <w:p w14:paraId="0179573B" w14:textId="34142945" w:rsidR="00CD63CC" w:rsidRDefault="00FF7EE3" w:rsidP="00B80791">
      <w:pPr>
        <w:pStyle w:val="xmsonormal"/>
        <w:spacing w:before="0" w:beforeAutospacing="0" w:after="0" w:afterAutospacing="0" w:line="0" w:lineRule="atLeast"/>
        <w:ind w:left="360"/>
        <w:rPr>
          <w:rFonts w:asciiTheme="minorHAnsi" w:hAnsiTheme="minorHAnsi" w:cstheme="minorHAnsi"/>
          <w:sz w:val="18"/>
          <w:szCs w:val="18"/>
        </w:rPr>
      </w:pPr>
      <w:r w:rsidRPr="00FF7EE3">
        <w:rPr>
          <w:rFonts w:asciiTheme="minorHAnsi" w:hAnsiTheme="minorHAnsi" w:cstheme="minorHAnsi"/>
          <w:sz w:val="18"/>
          <w:szCs w:val="18"/>
          <w:u w:val="single"/>
        </w:rPr>
        <w:t>Endorsement 42 (Commercial Lender Group):</w:t>
      </w:r>
      <w:r w:rsidRPr="00FF7EE3">
        <w:rPr>
          <w:rFonts w:asciiTheme="minorHAnsi" w:hAnsiTheme="minorHAnsi" w:cstheme="minorHAnsi"/>
          <w:sz w:val="18"/>
          <w:szCs w:val="18"/>
        </w:rPr>
        <w:t xml:space="preserve"> </w:t>
      </w:r>
      <w:r w:rsidR="00CD63CC">
        <w:rPr>
          <w:rFonts w:asciiTheme="minorHAnsi" w:hAnsiTheme="minorHAnsi" w:cstheme="minorHAnsi"/>
          <w:sz w:val="18"/>
          <w:szCs w:val="18"/>
        </w:rPr>
        <w:t>2021 v. 01.00</w:t>
      </w:r>
    </w:p>
    <w:p w14:paraId="29892C0B" w14:textId="3A22B4DA" w:rsidR="00FF7EE3" w:rsidRPr="00FF7EE3" w:rsidRDefault="00FF7EE3" w:rsidP="00337B1F">
      <w:pPr>
        <w:pStyle w:val="xmsonormal"/>
        <w:spacing w:before="0" w:beforeAutospacing="0" w:after="0" w:afterAutospacing="0" w:line="0" w:lineRule="atLeast"/>
        <w:ind w:left="360"/>
        <w:rPr>
          <w:rFonts w:asciiTheme="minorHAnsi" w:hAnsiTheme="minorHAnsi" w:cstheme="minorHAnsi"/>
          <w:sz w:val="18"/>
          <w:szCs w:val="18"/>
        </w:rPr>
      </w:pPr>
      <w:r w:rsidRPr="00FF7EE3">
        <w:rPr>
          <w:rFonts w:asciiTheme="minorHAnsi" w:hAnsiTheme="minorHAnsi" w:cstheme="minorHAnsi"/>
          <w:sz w:val="18"/>
          <w:szCs w:val="18"/>
        </w:rPr>
        <w:t xml:space="preserve">The revision is needed for alignment with the 2021 Forms Collection.  It replaces what is now an incorrect reference to a base policy provision in the 2021 collection with the new defined term “Obligor.” </w:t>
      </w:r>
      <w:r w:rsidR="00230C65" w:rsidRPr="00FF7EE3">
        <w:rPr>
          <w:rFonts w:asciiTheme="minorHAnsi" w:hAnsiTheme="minorHAnsi" w:cstheme="minorHAnsi"/>
          <w:sz w:val="18"/>
          <w:szCs w:val="18"/>
        </w:rPr>
        <w:t xml:space="preserve">  </w:t>
      </w:r>
      <w:r w:rsidR="005B13E0">
        <w:rPr>
          <w:rFonts w:asciiTheme="minorHAnsi" w:hAnsiTheme="minorHAnsi" w:cstheme="minorHAnsi"/>
          <w:sz w:val="18"/>
          <w:szCs w:val="18"/>
        </w:rPr>
        <w:t>A redline of the change is as follows:</w:t>
      </w:r>
    </w:p>
    <w:p w14:paraId="099B2C47" w14:textId="3BE8CD00" w:rsidR="00622109" w:rsidRDefault="00FF7EE3" w:rsidP="00FF7EE3">
      <w:pPr>
        <w:pStyle w:val="xmsonormal"/>
        <w:spacing w:before="0" w:beforeAutospacing="0" w:after="0" w:afterAutospacing="0" w:line="294" w:lineRule="atLeast"/>
        <w:jc w:val="right"/>
        <w:rPr>
          <w:sz w:val="18"/>
          <w:szCs w:val="18"/>
        </w:rPr>
      </w:pPr>
      <w:r w:rsidRPr="00FF7EE3">
        <w:rPr>
          <w:noProof/>
          <w:sz w:val="18"/>
          <w:szCs w:val="18"/>
        </w:rPr>
        <w:drawing>
          <wp:inline distT="0" distB="0" distL="0" distR="0" wp14:anchorId="6D0D444D" wp14:editId="43B8CE35">
            <wp:extent cx="4865459" cy="318646"/>
            <wp:effectExtent l="152400" t="152400" r="335280" b="367665"/>
            <wp:docPr id="1709956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956845" name=""/>
                    <pic:cNvPicPr/>
                  </pic:nvPicPr>
                  <pic:blipFill>
                    <a:blip r:embed="rId8"/>
                    <a:stretch>
                      <a:fillRect/>
                    </a:stretch>
                  </pic:blipFill>
                  <pic:spPr>
                    <a:xfrm>
                      <a:off x="0" y="0"/>
                      <a:ext cx="5127165" cy="335785"/>
                    </a:xfrm>
                    <a:prstGeom prst="rect">
                      <a:avLst/>
                    </a:prstGeom>
                    <a:ln>
                      <a:noFill/>
                    </a:ln>
                    <a:effectLst>
                      <a:outerShdw blurRad="292100" dist="139700" dir="2700000" algn="tl" rotWithShape="0">
                        <a:srgbClr val="333333">
                          <a:alpha val="65000"/>
                        </a:srgbClr>
                      </a:outerShdw>
                    </a:effectLst>
                  </pic:spPr>
                </pic:pic>
              </a:graphicData>
            </a:graphic>
          </wp:inline>
        </w:drawing>
      </w:r>
    </w:p>
    <w:p w14:paraId="1CF1BAFA" w14:textId="1BA9919C" w:rsidR="00FF7EE3" w:rsidRPr="005B13E0" w:rsidRDefault="00FF7EE3" w:rsidP="00FF7EE3">
      <w:pPr>
        <w:pStyle w:val="xmsonormal"/>
        <w:spacing w:before="0" w:beforeAutospacing="0" w:after="0" w:afterAutospacing="0" w:line="294" w:lineRule="atLeast"/>
        <w:rPr>
          <w:b/>
          <w:bCs/>
          <w:sz w:val="18"/>
          <w:szCs w:val="18"/>
          <w:u w:val="single"/>
        </w:rPr>
      </w:pPr>
      <w:r w:rsidRPr="005B13E0">
        <w:rPr>
          <w:b/>
          <w:bCs/>
          <w:sz w:val="18"/>
          <w:szCs w:val="18"/>
          <w:u w:val="single"/>
        </w:rPr>
        <w:t xml:space="preserve">New ALTA Endorsements </w:t>
      </w:r>
    </w:p>
    <w:p w14:paraId="25156B03" w14:textId="0C81F8A0" w:rsidR="00FF7EE3" w:rsidRPr="00FF7EE3" w:rsidRDefault="00FF7EE3" w:rsidP="00FF7EE3">
      <w:pPr>
        <w:pStyle w:val="xmsonormal"/>
        <w:spacing w:before="0" w:beforeAutospacing="0" w:after="0" w:afterAutospacing="0" w:line="294" w:lineRule="atLeast"/>
        <w:rPr>
          <w:sz w:val="18"/>
          <w:szCs w:val="18"/>
        </w:rPr>
      </w:pPr>
      <w:r>
        <w:rPr>
          <w:sz w:val="18"/>
          <w:szCs w:val="18"/>
        </w:rPr>
        <w:t>On February 9, 2024, t</w:t>
      </w:r>
      <w:r w:rsidRPr="00622109">
        <w:rPr>
          <w:sz w:val="18"/>
          <w:szCs w:val="18"/>
        </w:rPr>
        <w:t xml:space="preserve">he </w:t>
      </w:r>
      <w:r w:rsidRPr="00FF7EE3">
        <w:rPr>
          <w:sz w:val="18"/>
          <w:szCs w:val="18"/>
        </w:rPr>
        <w:t xml:space="preserve">ALTA Board of Governors approved a recommendation to adopt the following new Endorsements for the 2021 ALTA Forms Collection.  </w:t>
      </w:r>
      <w:r w:rsidR="00CD63CC">
        <w:rPr>
          <w:sz w:val="18"/>
          <w:szCs w:val="18"/>
        </w:rPr>
        <w:t xml:space="preserve">The public comment period ran through March 22, 2024. </w:t>
      </w:r>
      <w:r w:rsidRPr="00FF7EE3">
        <w:rPr>
          <w:sz w:val="18"/>
          <w:szCs w:val="18"/>
        </w:rPr>
        <w:t>The</w:t>
      </w:r>
      <w:r w:rsidR="00057FDC">
        <w:rPr>
          <w:sz w:val="18"/>
          <w:szCs w:val="18"/>
        </w:rPr>
        <w:t xml:space="preserve"> final publication </w:t>
      </w:r>
      <w:r w:rsidRPr="00FF7EE3">
        <w:rPr>
          <w:sz w:val="18"/>
          <w:szCs w:val="18"/>
        </w:rPr>
        <w:t xml:space="preserve">date for these Forms is April 2, 2024.  </w:t>
      </w:r>
    </w:p>
    <w:p w14:paraId="6614B0FC" w14:textId="022BBC46" w:rsidR="00FF7EE3" w:rsidRPr="00FF7EE3" w:rsidRDefault="00FF7EE3" w:rsidP="00FF7EE3">
      <w:pPr>
        <w:pStyle w:val="xmsonormal"/>
        <w:spacing w:before="0" w:beforeAutospacing="0" w:after="0" w:afterAutospacing="0" w:line="294" w:lineRule="atLeast"/>
        <w:rPr>
          <w:sz w:val="18"/>
          <w:szCs w:val="18"/>
        </w:rPr>
      </w:pPr>
    </w:p>
    <w:p w14:paraId="003377B4" w14:textId="54EAA470" w:rsidR="00FF7EE3" w:rsidRPr="00FF7EE3" w:rsidRDefault="00FF7EE3" w:rsidP="00FF7EE3">
      <w:pPr>
        <w:pStyle w:val="ALTABullet-1"/>
        <w:numPr>
          <w:ilvl w:val="0"/>
          <w:numId w:val="0"/>
        </w:numPr>
        <w:ind w:left="360"/>
        <w:rPr>
          <w:rFonts w:cstheme="minorHAnsi"/>
          <w:sz w:val="18"/>
          <w:szCs w:val="18"/>
        </w:rPr>
      </w:pPr>
      <w:r w:rsidRPr="00FF7EE3">
        <w:rPr>
          <w:rFonts w:cstheme="minorHAnsi"/>
          <w:sz w:val="18"/>
          <w:szCs w:val="18"/>
          <w:u w:val="single"/>
        </w:rPr>
        <w:t xml:space="preserve">Endorsement 10.2 (Collateral Assignment) and </w:t>
      </w:r>
      <w:r w:rsidR="005B13E0">
        <w:rPr>
          <w:rFonts w:cstheme="minorHAnsi"/>
          <w:sz w:val="18"/>
          <w:szCs w:val="18"/>
          <w:u w:val="single"/>
        </w:rPr>
        <w:t xml:space="preserve">Endorsement </w:t>
      </w:r>
      <w:r w:rsidRPr="00FF7EE3">
        <w:rPr>
          <w:rFonts w:cstheme="minorHAnsi"/>
          <w:sz w:val="18"/>
          <w:szCs w:val="18"/>
          <w:u w:val="single"/>
        </w:rPr>
        <w:t>10.3 (Collateral Assignment and Date Down):</w:t>
      </w:r>
      <w:r w:rsidRPr="00FF7EE3">
        <w:rPr>
          <w:rFonts w:cstheme="minorHAnsi"/>
          <w:sz w:val="18"/>
          <w:szCs w:val="18"/>
        </w:rPr>
        <w:t xml:space="preserve"> The new Endorsements 10.2 and 10.3 are designed to address collateral assignments of an Insured Mortgage. </w:t>
      </w:r>
    </w:p>
    <w:p w14:paraId="4A07FF75" w14:textId="77777777" w:rsidR="00FF7EE3" w:rsidRPr="00FF7EE3" w:rsidRDefault="00FF7EE3" w:rsidP="00FF7EE3">
      <w:pPr>
        <w:pStyle w:val="xmsonormal"/>
        <w:spacing w:before="0" w:beforeAutospacing="0" w:after="0" w:afterAutospacing="0" w:line="294" w:lineRule="atLeast"/>
        <w:rPr>
          <w:sz w:val="18"/>
          <w:szCs w:val="18"/>
        </w:rPr>
      </w:pPr>
    </w:p>
    <w:p w14:paraId="3E6EFEF9" w14:textId="00595242" w:rsidR="00230C65" w:rsidRPr="00FF7EE3" w:rsidRDefault="00230C65" w:rsidP="00FF7EE3">
      <w:pPr>
        <w:rPr>
          <w:sz w:val="18"/>
          <w:szCs w:val="18"/>
        </w:rPr>
      </w:pPr>
      <w:r w:rsidRPr="00FF7EE3">
        <w:rPr>
          <w:sz w:val="18"/>
          <w:szCs w:val="18"/>
        </w:rPr>
        <w:t>As always, the</w:t>
      </w:r>
      <w:r w:rsidR="00CD63CC">
        <w:rPr>
          <w:sz w:val="18"/>
          <w:szCs w:val="18"/>
        </w:rPr>
        <w:t>se</w:t>
      </w:r>
      <w:r w:rsidRPr="00FF7EE3">
        <w:rPr>
          <w:sz w:val="18"/>
          <w:szCs w:val="18"/>
        </w:rPr>
        <w:t xml:space="preserve"> forms have been developed by the ALTA Forms Committee and approved by the ALTA Board. An opportunity to review and comment </w:t>
      </w:r>
      <w:r w:rsidR="00CD63CC">
        <w:rPr>
          <w:sz w:val="18"/>
          <w:szCs w:val="18"/>
        </w:rPr>
        <w:t>wa</w:t>
      </w:r>
      <w:r w:rsidRPr="00FF7EE3">
        <w:rPr>
          <w:sz w:val="18"/>
          <w:szCs w:val="18"/>
        </w:rPr>
        <w:t xml:space="preserve">s extended to ALTA Members, Policy Forms Licensees, and industry customers before final publication.  </w:t>
      </w:r>
    </w:p>
    <w:p w14:paraId="5450E5EA" w14:textId="34037E52" w:rsidR="004A62CC" w:rsidRPr="005B13E0" w:rsidRDefault="00FF7EE3" w:rsidP="00FF7EE3">
      <w:pPr>
        <w:rPr>
          <w:b/>
          <w:bCs/>
          <w:sz w:val="18"/>
          <w:szCs w:val="18"/>
          <w:u w:val="single"/>
        </w:rPr>
      </w:pPr>
      <w:r w:rsidRPr="005B13E0">
        <w:rPr>
          <w:b/>
          <w:bCs/>
          <w:sz w:val="18"/>
          <w:szCs w:val="18"/>
          <w:u w:val="single"/>
        </w:rPr>
        <w:t xml:space="preserve">Technical Corrections </w:t>
      </w:r>
    </w:p>
    <w:p w14:paraId="625BA92E" w14:textId="5F1069E8" w:rsidR="004A62CC" w:rsidRPr="004A62CC" w:rsidRDefault="004A62CC" w:rsidP="00FF7EE3">
      <w:pPr>
        <w:rPr>
          <w:sz w:val="18"/>
          <w:szCs w:val="18"/>
        </w:rPr>
      </w:pPr>
      <w:r w:rsidRPr="00FF7EE3">
        <w:rPr>
          <w:sz w:val="18"/>
          <w:szCs w:val="18"/>
        </w:rPr>
        <w:t xml:space="preserve">After </w:t>
      </w:r>
      <w:r w:rsidR="00FF7EE3" w:rsidRPr="00FF7EE3">
        <w:rPr>
          <w:sz w:val="18"/>
          <w:szCs w:val="18"/>
        </w:rPr>
        <w:t xml:space="preserve">ALTA Forms Committee review, </w:t>
      </w:r>
      <w:r w:rsidRPr="00FF7EE3">
        <w:rPr>
          <w:sz w:val="18"/>
          <w:szCs w:val="18"/>
        </w:rPr>
        <w:t xml:space="preserve">we are pleased to announce the </w:t>
      </w:r>
      <w:r w:rsidR="00FF7EE3" w:rsidRPr="00FF7EE3">
        <w:rPr>
          <w:sz w:val="18"/>
          <w:szCs w:val="18"/>
        </w:rPr>
        <w:t>following technical correction to the ALTA Forms Collection,</w:t>
      </w:r>
      <w:r w:rsidRPr="00FF7EE3">
        <w:rPr>
          <w:sz w:val="18"/>
          <w:szCs w:val="18"/>
        </w:rPr>
        <w:t xml:space="preserve"> </w:t>
      </w:r>
      <w:r w:rsidR="00057FDC">
        <w:rPr>
          <w:sz w:val="18"/>
          <w:szCs w:val="18"/>
        </w:rPr>
        <w:t xml:space="preserve">for final publication </w:t>
      </w:r>
      <w:r w:rsidR="005B13E0">
        <w:rPr>
          <w:sz w:val="18"/>
          <w:szCs w:val="18"/>
        </w:rPr>
        <w:t xml:space="preserve">on </w:t>
      </w:r>
      <w:r w:rsidRPr="00FF7EE3">
        <w:rPr>
          <w:sz w:val="18"/>
          <w:szCs w:val="18"/>
        </w:rPr>
        <w:t>April 2, 202</w:t>
      </w:r>
      <w:r w:rsidR="00FF7EE3" w:rsidRPr="00FF7EE3">
        <w:rPr>
          <w:sz w:val="18"/>
          <w:szCs w:val="18"/>
        </w:rPr>
        <w:t>4</w:t>
      </w:r>
      <w:r w:rsidRPr="00FF7EE3">
        <w:rPr>
          <w:sz w:val="18"/>
          <w:szCs w:val="18"/>
        </w:rPr>
        <w:t>:</w:t>
      </w:r>
    </w:p>
    <w:p w14:paraId="1F097BD1" w14:textId="213361DD" w:rsidR="00FF7EE3" w:rsidRPr="00FF7EE3" w:rsidRDefault="00FF7EE3" w:rsidP="005B13E0">
      <w:pPr>
        <w:pStyle w:val="ALTABullet-1"/>
        <w:numPr>
          <w:ilvl w:val="0"/>
          <w:numId w:val="0"/>
        </w:numPr>
        <w:ind w:left="360"/>
        <w:rPr>
          <w:sz w:val="18"/>
          <w:szCs w:val="18"/>
        </w:rPr>
      </w:pPr>
      <w:r w:rsidRPr="00FF7EE3">
        <w:rPr>
          <w:sz w:val="18"/>
          <w:szCs w:val="18"/>
          <w:u w:val="single"/>
        </w:rPr>
        <w:t>Endorsement 14.0, 14.1, 14.2, 14.3:</w:t>
      </w:r>
      <w:r w:rsidRPr="00FF7EE3">
        <w:rPr>
          <w:sz w:val="18"/>
          <w:szCs w:val="18"/>
        </w:rPr>
        <w:t xml:space="preserve">  Opinions from industry expressed that the </w:t>
      </w:r>
      <w:r>
        <w:rPr>
          <w:sz w:val="18"/>
          <w:szCs w:val="18"/>
        </w:rPr>
        <w:t xml:space="preserve">ALTA 2021 </w:t>
      </w:r>
      <w:r w:rsidRPr="00FF7EE3">
        <w:rPr>
          <w:sz w:val="18"/>
          <w:szCs w:val="18"/>
        </w:rPr>
        <w:t>14</w:t>
      </w:r>
      <w:r>
        <w:rPr>
          <w:sz w:val="18"/>
          <w:szCs w:val="18"/>
        </w:rPr>
        <w:t xml:space="preserve">-series </w:t>
      </w:r>
      <w:r w:rsidRPr="00FF7EE3">
        <w:rPr>
          <w:sz w:val="18"/>
          <w:szCs w:val="18"/>
        </w:rPr>
        <w:t>endorsements with the current wording in the</w:t>
      </w:r>
      <w:r>
        <w:rPr>
          <w:sz w:val="18"/>
          <w:szCs w:val="18"/>
        </w:rPr>
        <w:t>ir</w:t>
      </w:r>
      <w:r w:rsidRPr="00FF7EE3">
        <w:rPr>
          <w:sz w:val="18"/>
          <w:szCs w:val="18"/>
        </w:rPr>
        <w:t xml:space="preserve"> definition of “Advances” could be interpreted to limit interest to only amounts expended to prevent deterioration of the property.  The Forms Committee decided to clarify the language by replacing two semi-colons with commas to clarify that the application of the interest is not limited to the single item, but to all advances.  </w:t>
      </w:r>
      <w:r w:rsidR="005B13E0">
        <w:rPr>
          <w:sz w:val="18"/>
          <w:szCs w:val="18"/>
        </w:rPr>
        <w:t>A redline of the change is as follows:</w:t>
      </w:r>
    </w:p>
    <w:p w14:paraId="56AB503A" w14:textId="3D1C4225" w:rsidR="00FF7EE3" w:rsidRDefault="00FF7EE3" w:rsidP="00FF7EE3">
      <w:pPr>
        <w:jc w:val="right"/>
        <w:rPr>
          <w:rFonts w:ascii="Calibri" w:hAnsi="Calibri" w:cs="Calibri"/>
          <w:sz w:val="18"/>
          <w:szCs w:val="18"/>
        </w:rPr>
      </w:pPr>
      <w:r w:rsidRPr="00FF7EE3">
        <w:rPr>
          <w:rFonts w:ascii="Calibri" w:hAnsi="Calibri" w:cs="Calibri"/>
          <w:noProof/>
          <w:sz w:val="18"/>
          <w:szCs w:val="18"/>
        </w:rPr>
        <w:lastRenderedPageBreak/>
        <w:drawing>
          <wp:inline distT="0" distB="0" distL="0" distR="0" wp14:anchorId="002258FE" wp14:editId="4F024CBB">
            <wp:extent cx="4957948" cy="744752"/>
            <wp:effectExtent l="152400" t="152400" r="357505" b="360680"/>
            <wp:docPr id="130111762"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11762" name="Picture 1" descr="A close up of a text&#10;&#10;Description automatically generated"/>
                    <pic:cNvPicPr/>
                  </pic:nvPicPr>
                  <pic:blipFill>
                    <a:blip r:embed="rId9"/>
                    <a:stretch>
                      <a:fillRect/>
                    </a:stretch>
                  </pic:blipFill>
                  <pic:spPr>
                    <a:xfrm>
                      <a:off x="0" y="0"/>
                      <a:ext cx="4984589" cy="748754"/>
                    </a:xfrm>
                    <a:prstGeom prst="rect">
                      <a:avLst/>
                    </a:prstGeom>
                    <a:ln>
                      <a:noFill/>
                    </a:ln>
                    <a:effectLst>
                      <a:outerShdw blurRad="292100" dist="139700" dir="2700000" algn="tl" rotWithShape="0">
                        <a:srgbClr val="333333">
                          <a:alpha val="65000"/>
                        </a:srgbClr>
                      </a:outerShdw>
                    </a:effectLst>
                  </pic:spPr>
                </pic:pic>
              </a:graphicData>
            </a:graphic>
          </wp:inline>
        </w:drawing>
      </w:r>
    </w:p>
    <w:p w14:paraId="0A3EADBF" w14:textId="09A995FA" w:rsidR="00FF7EE3" w:rsidRPr="00FF7EE3" w:rsidRDefault="00FF7EE3" w:rsidP="00FF7EE3">
      <w:pPr>
        <w:rPr>
          <w:rFonts w:ascii="Calibri" w:hAnsi="Calibri" w:cs="Calibri"/>
          <w:b/>
          <w:bCs/>
          <w:sz w:val="18"/>
          <w:szCs w:val="18"/>
        </w:rPr>
      </w:pPr>
      <w:r w:rsidRPr="00FF7EE3">
        <w:rPr>
          <w:rFonts w:ascii="Calibri" w:hAnsi="Calibri" w:cs="Calibri"/>
          <w:b/>
          <w:bCs/>
          <w:sz w:val="18"/>
          <w:szCs w:val="18"/>
        </w:rPr>
        <w:t>Purpose</w:t>
      </w:r>
      <w:r w:rsidR="005B13E0">
        <w:rPr>
          <w:rFonts w:ascii="Calibri" w:hAnsi="Calibri" w:cs="Calibri"/>
          <w:b/>
          <w:bCs/>
          <w:sz w:val="18"/>
          <w:szCs w:val="18"/>
        </w:rPr>
        <w:t xml:space="preserve"> and Use of ALTA Forms Collection</w:t>
      </w:r>
    </w:p>
    <w:p w14:paraId="76E9EF38" w14:textId="2E06C1CF" w:rsidR="00FF7EE3" w:rsidRDefault="00FF7EE3" w:rsidP="00FF7EE3">
      <w:pPr>
        <w:rPr>
          <w:sz w:val="18"/>
          <w:szCs w:val="18"/>
        </w:rPr>
      </w:pPr>
      <w:r w:rsidRPr="00622109">
        <w:rPr>
          <w:sz w:val="18"/>
          <w:szCs w:val="18"/>
        </w:rPr>
        <w:t xml:space="preserve">The forms, in general, are made available for customer convenience. The parties are free in each case to agree to different terms and the use of these forms is voluntary unless required by law.  The Forms are copyrighted, and use is restricted to ALTA Policy Forms Licensees (including ALTA Members) in good standing as of the date of use.  Permission to reprint may be requested by contacting </w:t>
      </w:r>
      <w:hyperlink r:id="rId10" w:history="1">
        <w:r w:rsidRPr="00622109">
          <w:rPr>
            <w:rStyle w:val="Hyperlink"/>
            <w:sz w:val="18"/>
            <w:szCs w:val="18"/>
          </w:rPr>
          <w:t>publications@alta.org</w:t>
        </w:r>
      </w:hyperlink>
      <w:r w:rsidRPr="00622109">
        <w:rPr>
          <w:sz w:val="18"/>
          <w:szCs w:val="18"/>
        </w:rPr>
        <w:t>. </w:t>
      </w:r>
      <w:r w:rsidR="00C64AB4">
        <w:rPr>
          <w:sz w:val="18"/>
          <w:szCs w:val="18"/>
        </w:rPr>
        <w:t xml:space="preserve"> The ALTA Forms are available at </w:t>
      </w:r>
      <w:hyperlink r:id="rId11" w:history="1">
        <w:r w:rsidR="00C64AB4" w:rsidRPr="00A07904">
          <w:rPr>
            <w:rStyle w:val="Hyperlink"/>
            <w:sz w:val="18"/>
            <w:szCs w:val="18"/>
          </w:rPr>
          <w:t>https://alta.org/policy-forms</w:t>
        </w:r>
      </w:hyperlink>
      <w:r w:rsidR="00C64AB4">
        <w:rPr>
          <w:sz w:val="18"/>
          <w:szCs w:val="18"/>
        </w:rPr>
        <w:t>.</w:t>
      </w:r>
    </w:p>
    <w:p w14:paraId="1440CA62" w14:textId="77777777" w:rsidR="00C64AB4" w:rsidRPr="00FF7EE3" w:rsidRDefault="00C64AB4" w:rsidP="00FF7EE3">
      <w:pPr>
        <w:rPr>
          <w:rFonts w:ascii="Calibri" w:hAnsi="Calibri" w:cs="Calibri"/>
          <w:sz w:val="18"/>
          <w:szCs w:val="18"/>
        </w:rPr>
      </w:pPr>
    </w:p>
    <w:p w14:paraId="725A0842" w14:textId="77777777" w:rsidR="005E1588" w:rsidRDefault="005E1588" w:rsidP="00FF7EE3"/>
    <w:sectPr w:rsidR="005E1588">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8D27F" w14:textId="77777777" w:rsidR="00BE2DC6" w:rsidRDefault="00BE2DC6" w:rsidP="00337B1F">
      <w:pPr>
        <w:spacing w:after="0" w:line="240" w:lineRule="auto"/>
      </w:pPr>
      <w:r>
        <w:separator/>
      </w:r>
    </w:p>
  </w:endnote>
  <w:endnote w:type="continuationSeparator" w:id="0">
    <w:p w14:paraId="4CC78A35" w14:textId="77777777" w:rsidR="00BE2DC6" w:rsidRDefault="00BE2DC6" w:rsidP="00337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20493"/>
      <w:docPartObj>
        <w:docPartGallery w:val="Page Numbers (Bottom of Page)"/>
        <w:docPartUnique/>
      </w:docPartObj>
    </w:sdtPr>
    <w:sdtEndPr>
      <w:rPr>
        <w:noProof/>
      </w:rPr>
    </w:sdtEndPr>
    <w:sdtContent>
      <w:p w14:paraId="40808814" w14:textId="134BC4E4" w:rsidR="00337B1F" w:rsidRDefault="00337B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DC4AF4" w14:textId="77777777" w:rsidR="00337B1F" w:rsidRDefault="00337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7D60D" w14:textId="77777777" w:rsidR="00BE2DC6" w:rsidRDefault="00BE2DC6" w:rsidP="00337B1F">
      <w:pPr>
        <w:spacing w:after="0" w:line="240" w:lineRule="auto"/>
      </w:pPr>
      <w:r>
        <w:separator/>
      </w:r>
    </w:p>
  </w:footnote>
  <w:footnote w:type="continuationSeparator" w:id="0">
    <w:p w14:paraId="1005880B" w14:textId="77777777" w:rsidR="00BE2DC6" w:rsidRDefault="00BE2DC6" w:rsidP="00337B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E769BD"/>
    <w:multiLevelType w:val="hybridMultilevel"/>
    <w:tmpl w:val="A686FE24"/>
    <w:lvl w:ilvl="0" w:tplc="A9081AD4">
      <w:start w:val="1"/>
      <w:numFmt w:val="bullet"/>
      <w:pStyle w:val="ALTABullet-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295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588"/>
    <w:rsid w:val="00057FDC"/>
    <w:rsid w:val="000A5E64"/>
    <w:rsid w:val="000B4B16"/>
    <w:rsid w:val="00230C65"/>
    <w:rsid w:val="00337B1F"/>
    <w:rsid w:val="00445CC5"/>
    <w:rsid w:val="004A62CC"/>
    <w:rsid w:val="005B13E0"/>
    <w:rsid w:val="005E1588"/>
    <w:rsid w:val="00622109"/>
    <w:rsid w:val="007B16B2"/>
    <w:rsid w:val="00802AD7"/>
    <w:rsid w:val="00A956ED"/>
    <w:rsid w:val="00B4098D"/>
    <w:rsid w:val="00B80791"/>
    <w:rsid w:val="00BE2DC6"/>
    <w:rsid w:val="00C64AB4"/>
    <w:rsid w:val="00CD63CC"/>
    <w:rsid w:val="00E038B5"/>
    <w:rsid w:val="00EA0D54"/>
    <w:rsid w:val="00FB6B4D"/>
    <w:rsid w:val="00FF7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182"/>
  <w15:chartTrackingRefBased/>
  <w15:docId w15:val="{FF8AC819-E9F1-46BB-BC69-BE3E1FB0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5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E1588"/>
    <w:rPr>
      <w:color w:val="0563C1" w:themeColor="hyperlink"/>
      <w:u w:val="single"/>
    </w:rPr>
  </w:style>
  <w:style w:type="paragraph" w:customStyle="1" w:styleId="xmsonormal">
    <w:name w:val="x_msonormal"/>
    <w:basedOn w:val="Normal"/>
    <w:rsid w:val="005E1588"/>
    <w:pPr>
      <w:spacing w:before="100" w:beforeAutospacing="1" w:after="100" w:afterAutospacing="1" w:line="240" w:lineRule="auto"/>
    </w:pPr>
    <w:rPr>
      <w:rFonts w:ascii="Calibri" w:hAnsi="Calibri" w:cs="Calibri"/>
    </w:rPr>
  </w:style>
  <w:style w:type="character" w:styleId="UnresolvedMention">
    <w:name w:val="Unresolved Mention"/>
    <w:basedOn w:val="DefaultParagraphFont"/>
    <w:uiPriority w:val="99"/>
    <w:semiHidden/>
    <w:unhideWhenUsed/>
    <w:rsid w:val="00230C65"/>
    <w:rPr>
      <w:color w:val="605E5C"/>
      <w:shd w:val="clear" w:color="auto" w:fill="E1DFDD"/>
    </w:rPr>
  </w:style>
  <w:style w:type="character" w:styleId="FollowedHyperlink">
    <w:name w:val="FollowedHyperlink"/>
    <w:basedOn w:val="DefaultParagraphFont"/>
    <w:uiPriority w:val="99"/>
    <w:semiHidden/>
    <w:unhideWhenUsed/>
    <w:rsid w:val="00A956ED"/>
    <w:rPr>
      <w:color w:val="954F72" w:themeColor="followedHyperlink"/>
      <w:u w:val="single"/>
    </w:rPr>
  </w:style>
  <w:style w:type="paragraph" w:styleId="BalloonText">
    <w:name w:val="Balloon Text"/>
    <w:basedOn w:val="Normal"/>
    <w:link w:val="BalloonTextChar"/>
    <w:uiPriority w:val="99"/>
    <w:semiHidden/>
    <w:unhideWhenUsed/>
    <w:rsid w:val="00FF7EE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F7EE3"/>
    <w:rPr>
      <w:rFonts w:ascii="Tahoma" w:eastAsia="Times New Roman" w:hAnsi="Tahoma" w:cs="Tahoma"/>
      <w:sz w:val="16"/>
      <w:szCs w:val="16"/>
    </w:rPr>
  </w:style>
  <w:style w:type="paragraph" w:customStyle="1" w:styleId="ALTABullet-1">
    <w:name w:val="ALTA Bullet - 1"/>
    <w:basedOn w:val="Normal"/>
    <w:qFormat/>
    <w:rsid w:val="00FF7EE3"/>
    <w:pPr>
      <w:numPr>
        <w:numId w:val="1"/>
      </w:numPr>
      <w:spacing w:after="0" w:line="240" w:lineRule="auto"/>
      <w:contextualSpacing/>
    </w:pPr>
    <w:rPr>
      <w:sz w:val="24"/>
    </w:rPr>
  </w:style>
  <w:style w:type="paragraph" w:styleId="Header">
    <w:name w:val="header"/>
    <w:basedOn w:val="Normal"/>
    <w:link w:val="HeaderChar"/>
    <w:uiPriority w:val="99"/>
    <w:unhideWhenUsed/>
    <w:rsid w:val="00337B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B1F"/>
  </w:style>
  <w:style w:type="paragraph" w:styleId="Footer">
    <w:name w:val="footer"/>
    <w:basedOn w:val="Normal"/>
    <w:link w:val="FooterChar"/>
    <w:uiPriority w:val="99"/>
    <w:unhideWhenUsed/>
    <w:rsid w:val="00337B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lta.org/policy-forms" TargetMode="External"/><Relationship Id="rId5" Type="http://schemas.openxmlformats.org/officeDocument/2006/relationships/footnotes" Target="footnotes.xml"/><Relationship Id="rId10" Type="http://schemas.openxmlformats.org/officeDocument/2006/relationships/hyperlink" Target="mailto:publications@alta.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Gold</dc:creator>
  <cp:keywords/>
  <dc:description/>
  <cp:lastModifiedBy>Steven Gold</cp:lastModifiedBy>
  <cp:revision>3</cp:revision>
  <cp:lastPrinted>2024-02-26T19:58:00Z</cp:lastPrinted>
  <dcterms:created xsi:type="dcterms:W3CDTF">2024-04-01T17:50:00Z</dcterms:created>
  <dcterms:modified xsi:type="dcterms:W3CDTF">2024-04-01T18:53:00Z</dcterms:modified>
</cp:coreProperties>
</file>